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TP/_layouts/15/DocIdRedir.aspx?ID=PVIS-389858512-462</Url>
      <Description>PVIS-389858512-462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ED2DD1-7D2D-4374-B0A2-F452E368B2FF}"/>
</file>

<file path=customXml/itemProps3.xml><?xml version="1.0" encoding="utf-8"?>
<ds:datastoreItem xmlns:ds="http://schemas.openxmlformats.org/officeDocument/2006/customXml" ds:itemID="{E9A503D3-C842-439B-BA07-992B2F28F72C}"/>
</file>

<file path=customXml/itemProps4.xml><?xml version="1.0" encoding="utf-8"?>
<ds:datastoreItem xmlns:ds="http://schemas.openxmlformats.org/officeDocument/2006/customXml" ds:itemID="{EC151B7B-5109-4D9E-91E6-430B9635DFC8}"/>
</file>

<file path=customXml/itemProps5.xml><?xml version="1.0" encoding="utf-8"?>
<ds:datastoreItem xmlns:ds="http://schemas.openxmlformats.org/officeDocument/2006/customXml" ds:itemID="{F36E6281-D3E0-479A-AA1A-9B2BCCE3EF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0x01010066872F3CC8F7D84995438B893169A0800200A1D66642F57CA44AA26D783A7D94DC08</vt:lpwstr>
  </property>
  <property fmtid="{D5CDD505-2E9C-101B-9397-08002B2CF9AE}" pid="4" name="_dlc_DocIdItemGuid">
    <vt:lpwstr>aa4aacc0-177a-4ade-9170-ce5520802bd9</vt:lpwstr>
  </property>
</Properties>
</file>